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2C25AC"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A10A3">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32E3C" w:rsidRPr="00A32E3C">
        <w:t xml:space="preserve">   Clinical Procedures I  </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32E3C" w:rsidRPr="00A32E3C">
        <w:t>MAST 1221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32E3C" w:rsidRPr="00A32E3C">
        <w:t>MAST 1220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A32E3C">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A32E3C">
        <w:t>6</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32E3C">
        <w:t>1</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2C25AC">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2C25AC">
        <w:t>90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2C25AC">
        <w:t>90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32E3C" w:rsidRPr="00A32E3C">
        <w:t>51.0801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32E3C" w:rsidRPr="00A32E3C">
        <w:t>Introduces federal regulations and guidelines from the Centers for Disease Control and Prevention (CDC), Clinical Laboratory Improvement Amendments of 1988 (CLIA88), Occupational Safety and Health Administration (OSHA) Standards, as well as universal precautions. Students will perform emergency procedures, first aid and cardiopulmonary resuscitation (CPR), infection control measures, laboratory safety and quality control procedures, rehabilitation medical procedures, general safety measures/precautions used in the office/facility environment for employee/patient/client safety. Also introduces clinical facilities.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32E3C" w:rsidRPr="00A32E3C">
        <w:t>Admission to the Medical Assistant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32E3C" w:rsidRPr="00A32E3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32E3C" w:rsidRPr="00A32E3C">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94337" w:rsidRPr="00E94337">
        <w:t>Demonstrate an understanding of federal regulations and guidelines related to clinical procedures.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94337" w:rsidRPr="00E94337">
        <w:t>Execute appropriate safety measures specific to laboratory and facility environments.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94337" w:rsidRPr="00E94337">
        <w:t>Evaluate potential employment opportunities in medical settings.</w:t>
      </w:r>
      <w:r>
        <w:fldChar w:fldCharType="end"/>
      </w:r>
      <w:bookmarkEnd w:id="18"/>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A86EB2" w:rsidRPr="00A86EB2">
        <w:t>Assessment measures may include, but are not limited to homework, quizzes, skills evaluation (‘check-offs’), and examinations.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32A7D" w:rsidRPr="002C25AC" w:rsidRDefault="00594256"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fldChar w:fldCharType="begin">
          <w:ffData>
            <w:name w:val="Text1"/>
            <w:enabled/>
            <w:calcOnExit w:val="0"/>
            <w:textInput/>
          </w:ffData>
        </w:fldChar>
      </w:r>
      <w:bookmarkStart w:id="20" w:name="Text1"/>
      <w:r w:rsidRPr="002C25AC">
        <w:rPr>
          <w:rFonts w:ascii="Times New Roman" w:hAnsi="Times New Roman" w:cs="Times New Roman"/>
        </w:rPr>
        <w:instrText xml:space="preserve"> FORMTEXT </w:instrText>
      </w:r>
      <w:r w:rsidRPr="002C25AC">
        <w:rPr>
          <w:rFonts w:ascii="Times New Roman" w:hAnsi="Times New Roman" w:cs="Times New Roman"/>
        </w:rPr>
      </w:r>
      <w:r w:rsidRPr="002C25AC">
        <w:rPr>
          <w:rFonts w:ascii="Times New Roman" w:hAnsi="Times New Roman" w:cs="Times New Roman"/>
        </w:rPr>
        <w:fldChar w:fldCharType="separate"/>
      </w:r>
      <w:r w:rsidR="00432A7D" w:rsidRPr="002C25AC">
        <w:rPr>
          <w:rFonts w:ascii="Times New Roman" w:hAnsi="Times New Roman" w:cs="Times New Roman"/>
        </w:rPr>
        <w:t>General safety measures/precautions used in the office/facility environment for employee and patient safety.</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Physical hazards (fire, electricity, radiation, mechanical, and chemicals)</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Biological hazards</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Occupational Safety and Health Administration (OSHA) universal standard precautions guidelines for handling contaminated materials</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Body mechanics for personal safety</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Maintaining records (office/facility equipment operating manuals, receipts for purchase, preventive maintenance contracts, warranties, supplies, inventory, Material Safety Data Sheet (MSDS))</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Guidelines for providing emergency care to patients in the office/facility</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Primary patient assessment</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Crash carts and first aid kits, common medical emergencies, findings, and first aid measures</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Fire Drills:  The Rescue, Activate alarm, Confine the fire, Extinguish the flame (RACE) formula</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Body mechanics for moving equipment and assisting patients</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Incident reporting</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Hand washing techniques for infection control</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lastRenderedPageBreak/>
        <w:t>Personal protective equipment (PPE) for isolation and other infection control measures</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OSHA standards for the disposal of sharps</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CPR procedures:  adults, children, and infants, conscious and unconscious obstructed airway</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Basic principles of infection control and patient in isolation</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The relationship of microorganisms to disease</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Microorganism containment.</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Sexually transmitted diseases, including Acquired Immune Deficiency Syndrome (AIDS)</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Isolation procedures</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Supportive patient care</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Vital sign monitoring, recording, and reporting</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Admission, transfer, and discharge procedures (e.g., recording height and weight of all age groups)</w:t>
      </w:r>
    </w:p>
    <w:p w:rsidR="00432A7D" w:rsidRPr="002C25AC" w:rsidRDefault="00432A7D" w:rsidP="002C25AC">
      <w:pPr>
        <w:pStyle w:val="ListParagraph"/>
        <w:numPr>
          <w:ilvl w:val="0"/>
          <w:numId w:val="34"/>
        </w:numPr>
        <w:ind w:left="1440"/>
        <w:rPr>
          <w:rFonts w:ascii="Times New Roman" w:hAnsi="Times New Roman" w:cs="Times New Roman"/>
        </w:rPr>
      </w:pPr>
      <w:r w:rsidRPr="002C25AC">
        <w:rPr>
          <w:rFonts w:ascii="Times New Roman" w:hAnsi="Times New Roman" w:cs="Times New Roman"/>
        </w:rPr>
        <w:t>Care for patients with seizure disorders</w:t>
      </w:r>
    </w:p>
    <w:p w:rsidR="00594256" w:rsidRDefault="00432A7D" w:rsidP="002C25AC">
      <w:pPr>
        <w:pStyle w:val="ListParagraph"/>
        <w:numPr>
          <w:ilvl w:val="0"/>
          <w:numId w:val="34"/>
        </w:numPr>
        <w:ind w:left="1440"/>
      </w:pPr>
      <w:r w:rsidRPr="002C25AC">
        <w:rPr>
          <w:rFonts w:ascii="Times New Roman" w:hAnsi="Times New Roman" w:cs="Times New Roman"/>
        </w:rPr>
        <w:t>The complete patient medical history forms</w:t>
      </w:r>
      <w:r w:rsidR="00594256" w:rsidRPr="002C25AC">
        <w:rPr>
          <w:rFonts w:ascii="Times New Roman" w:hAnsi="Times New Roman" w:cs="Times New Roman"/>
        </w:rPr>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0A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F2280"/>
    <w:multiLevelType w:val="hybridMultilevel"/>
    <w:tmpl w:val="66C63980"/>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5"/>
  </w:num>
  <w:num w:numId="4">
    <w:abstractNumId w:val="31"/>
  </w:num>
  <w:num w:numId="5">
    <w:abstractNumId w:val="20"/>
  </w:num>
  <w:num w:numId="6">
    <w:abstractNumId w:val="9"/>
  </w:num>
  <w:num w:numId="7">
    <w:abstractNumId w:val="29"/>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7"/>
  </w:num>
  <w:num w:numId="31">
    <w:abstractNumId w:val="8"/>
  </w:num>
  <w:num w:numId="32">
    <w:abstractNumId w:val="4"/>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gCBrFdPYqdMBhLy8E+AT1LTIiabkyxYbi33MmrJOjZ9NbgPBF8ZNzkB3MowpY1cW76xUpd1c4WDGrKNGuhS7A==" w:salt="z6PIpg6YtYEbNOwMlTtdJ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6031"/>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25AC"/>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2A7D"/>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32E3C"/>
    <w:rsid w:val="00A40513"/>
    <w:rsid w:val="00A52175"/>
    <w:rsid w:val="00A5455D"/>
    <w:rsid w:val="00A77421"/>
    <w:rsid w:val="00A82620"/>
    <w:rsid w:val="00A8351D"/>
    <w:rsid w:val="00A86868"/>
    <w:rsid w:val="00A86EB2"/>
    <w:rsid w:val="00A9018B"/>
    <w:rsid w:val="00A920A5"/>
    <w:rsid w:val="00A93AF2"/>
    <w:rsid w:val="00A96B5F"/>
    <w:rsid w:val="00A97E4E"/>
    <w:rsid w:val="00AA10A3"/>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94337"/>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DC06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3D2C2F5-B684-4E05-9714-C28F3701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758</Words>
  <Characters>4919</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2020-07-31T13:50:00Z</dcterms:created>
  <dcterms:modified xsi:type="dcterms:W3CDTF">2020-08-28T22:01:00Z</dcterms:modified>
</cp:coreProperties>
</file>